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38"/>
          <w:szCs w:val="38"/>
          <w:rtl w:val="0"/>
        </w:rPr>
        <w:t xml:space="preserve">PS předškolní vzdělávání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5850"/>
        <w:tblGridChange w:id="0">
          <w:tblGrid>
            <w:gridCol w:w="3225"/>
            <w:gridCol w:w="585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5. 10. 2023 od 15:30 hod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i2c1l0hg04vo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MŠ Čtyřlístek Kadaň, Klášterecká 1557,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432 01 Kadaň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Program jednání: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Zahájení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Mgr.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Lenka Kořínková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představení programu pro logopedickou prevenci , Logopedická ZŠ Měcholupy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Sdílení dobré praxe a zkušeností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Různé, diskuse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757575"/>
          <w:sz w:val="28"/>
          <w:szCs w:val="28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8"/>
            <w:szCs w:val="28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Fonts w:ascii="Arial" w:cs="Arial" w:eastAsia="Arial" w:hAnsi="Arial"/>
          <w:color w:val="757575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 vaši účast se těší realizační tým MAS Vladař o.p.s.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ORP Kadaň, reg. č. CZ.02.3.68/0.0/0.0/20_082/0023128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kadansko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RxnT5hvl12krNrCpWZrbYyl/A==">CgMxLjAyDmguaTJjMWwwaGcwNHZvMghoLmdqZGd4czIJaC4zMGowemxsOAByITFhN0ZXTXZiN3d6UUsxZ0Fmb0JhTGo2WDFBMUFIRUZuSw==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2023-09-25T09:20:00Z</dcterms:created>
  <dc:creator>Uživatel systému Windows</dc:creator>
</cp:coreProperties>
</file>