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ZÁPIS</w:t>
      </w:r>
    </w:p>
    <w:p w:rsidR="00000000" w:rsidDel="00000000" w:rsidP="00000000" w:rsidRDefault="00000000" w:rsidRPr="00000000" w14:paraId="00000004">
      <w:pPr>
        <w:rPr>
          <w:rFonts w:ascii="Arial" w:cs="Arial" w:eastAsia="Arial" w:hAnsi="Arial"/>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rHeight w:val="538.974609375" w:hRule="atLeast"/>
          <w:tblHeader w:val="0"/>
        </w:trPr>
        <w:tc>
          <w:tcPr/>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Název akce</w:t>
            </w:r>
          </w:p>
        </w:tc>
        <w:tc>
          <w:tcPr/>
          <w:p w:rsidR="00000000" w:rsidDel="00000000" w:rsidP="00000000" w:rsidRDefault="00000000" w:rsidRPr="00000000" w14:paraId="00000006">
            <w:pPr>
              <w:rPr>
                <w:sz w:val="26"/>
                <w:szCs w:val="26"/>
              </w:rPr>
            </w:pPr>
            <w:r w:rsidDel="00000000" w:rsidR="00000000" w:rsidRPr="00000000">
              <w:rPr>
                <w:sz w:val="26"/>
                <w:szCs w:val="26"/>
                <w:rtl w:val="0"/>
              </w:rPr>
              <w:t xml:space="preserve">Beseda se spisovatelkou Ivonou Březinovou</w:t>
            </w:r>
          </w:p>
          <w:p w:rsidR="00000000" w:rsidDel="00000000" w:rsidP="00000000" w:rsidRDefault="00000000" w:rsidRPr="00000000" w14:paraId="00000007">
            <w:pPr>
              <w:rPr>
                <w:sz w:val="26"/>
                <w:szCs w:val="26"/>
              </w:rPr>
            </w:pPr>
            <w:r w:rsidDel="00000000" w:rsidR="00000000" w:rsidRPr="00000000">
              <w:rPr>
                <w:sz w:val="26"/>
                <w:szCs w:val="26"/>
                <w:rtl w:val="0"/>
              </w:rPr>
              <w:t xml:space="preserve">Beseda zaměřená na průřez tvorbou s důrazem na tituly, které jsou vhodné pro práci ve školním prostředí.</w:t>
            </w:r>
          </w:p>
        </w:tc>
      </w:tr>
      <w:tr>
        <w:trPr>
          <w:cantSplit w:val="0"/>
          <w:trHeight w:val="566.953125" w:hRule="atLeast"/>
          <w:tblHeader w:val="0"/>
        </w:trPr>
        <w:tc>
          <w:tcPr/>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Datum a čas konání</w:t>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(od - do)</w:t>
            </w:r>
          </w:p>
        </w:tc>
        <w:tc>
          <w:tcPr/>
          <w:p w:rsidR="00000000" w:rsidDel="00000000" w:rsidP="00000000" w:rsidRDefault="00000000" w:rsidRPr="00000000" w14:paraId="0000000A">
            <w:pPr>
              <w:rPr/>
            </w:pPr>
            <w:r w:rsidDel="00000000" w:rsidR="00000000" w:rsidRPr="00000000">
              <w:rPr>
                <w:rtl w:val="0"/>
              </w:rPr>
              <w:t xml:space="preserve">12.9. 2024</w:t>
            </w:r>
          </w:p>
          <w:p w:rsidR="00000000" w:rsidDel="00000000" w:rsidP="00000000" w:rsidRDefault="00000000" w:rsidRPr="00000000" w14:paraId="0000000B">
            <w:pPr>
              <w:rPr/>
            </w:pPr>
            <w:r w:rsidDel="00000000" w:rsidR="00000000" w:rsidRPr="00000000">
              <w:rPr>
                <w:rtl w:val="0"/>
              </w:rPr>
              <w:t xml:space="preserve">14:30-16:30 hod</w:t>
            </w:r>
          </w:p>
        </w:tc>
      </w:tr>
      <w:tr>
        <w:trPr>
          <w:cantSplit w:val="0"/>
          <w:trHeight w:val="485.9765625" w:hRule="atLeast"/>
          <w:tblHeader w:val="0"/>
        </w:trPr>
        <w:tc>
          <w:tcPr/>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Místo konání</w:t>
            </w:r>
          </w:p>
        </w:tc>
        <w:tc>
          <w:tcPr/>
          <w:p w:rsidR="00000000" w:rsidDel="00000000" w:rsidP="00000000" w:rsidRDefault="00000000" w:rsidRPr="00000000" w14:paraId="0000000D">
            <w:pPr>
              <w:rPr>
                <w:sz w:val="36"/>
                <w:szCs w:val="36"/>
              </w:rPr>
            </w:pPr>
            <w:r w:rsidDel="00000000" w:rsidR="00000000" w:rsidRPr="00000000">
              <w:rPr>
                <w:rtl w:val="0"/>
              </w:rPr>
              <w:t xml:space="preserve">Základní a Mateřská škola Radonice, okres Chomutov</w:t>
            </w:r>
            <w:r w:rsidDel="00000000" w:rsidR="00000000" w:rsidRPr="00000000">
              <w:rPr>
                <w:rtl w:val="0"/>
              </w:rPr>
            </w:r>
          </w:p>
        </w:tc>
      </w:tr>
    </w:tbl>
    <w:p w:rsidR="00000000" w:rsidDel="00000000" w:rsidP="00000000" w:rsidRDefault="00000000" w:rsidRPr="00000000" w14:paraId="0000000E">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F">
      <w:pPr>
        <w:rPr>
          <w:sz w:val="22"/>
          <w:szCs w:val="22"/>
        </w:rPr>
      </w:pPr>
      <w:bookmarkStart w:colFirst="0" w:colLast="0" w:name="_heading=h.hmehk2np0z8c" w:id="0"/>
      <w:bookmarkEnd w:id="0"/>
      <w:r w:rsidDel="00000000" w:rsidR="00000000" w:rsidRPr="00000000">
        <w:rPr>
          <w:sz w:val="22"/>
          <w:szCs w:val="22"/>
          <w:rtl w:val="0"/>
        </w:rPr>
        <w:t xml:space="preserve">Beseda pořádaná v implementační aktivitě: Vzdělávací akce pro pedagogy ČG/PČG</w:t>
      </w:r>
    </w:p>
    <w:p w:rsidR="00000000" w:rsidDel="00000000" w:rsidP="00000000" w:rsidRDefault="00000000" w:rsidRPr="00000000" w14:paraId="00000010">
      <w:pPr>
        <w:rPr>
          <w:sz w:val="22"/>
          <w:szCs w:val="22"/>
        </w:rPr>
      </w:pPr>
      <w:bookmarkStart w:colFirst="0" w:colLast="0" w:name="_heading=h.irbf4wuw97km" w:id="1"/>
      <w:bookmarkEnd w:id="1"/>
      <w:r w:rsidDel="00000000" w:rsidR="00000000" w:rsidRPr="00000000">
        <w:rPr>
          <w:rtl w:val="0"/>
        </w:rPr>
      </w:r>
    </w:p>
    <w:p w:rsidR="00000000" w:rsidDel="00000000" w:rsidP="00000000" w:rsidRDefault="00000000" w:rsidRPr="00000000" w14:paraId="00000011">
      <w:pPr>
        <w:rPr/>
      </w:pPr>
      <w:bookmarkStart w:colFirst="0" w:colLast="0" w:name="_heading=h.c9qybgmdu21j" w:id="2"/>
      <w:bookmarkEnd w:id="2"/>
      <w:r w:rsidDel="00000000" w:rsidR="00000000" w:rsidRPr="00000000">
        <w:rPr>
          <w:rtl w:val="0"/>
        </w:rPr>
        <w:t xml:space="preserve">Dne 12.září se uskutečnila beseda pro pedagogy v ZŠ a MŠ Radonicích s paní Ivonou Březinovou, známou autorkou knih pro děti a mládež. Setkání bylo zaměřeno na průřez její tvorby s důrazem na tituly vhodné pro práci ve školním prostředí.</w:t>
      </w:r>
    </w:p>
    <w:p w:rsidR="00000000" w:rsidDel="00000000" w:rsidP="00000000" w:rsidRDefault="00000000" w:rsidRPr="00000000" w14:paraId="00000012">
      <w:pPr>
        <w:rPr/>
      </w:pPr>
      <w:bookmarkStart w:colFirst="0" w:colLast="0" w:name="_heading=h.5g2takdxxrd4" w:id="3"/>
      <w:bookmarkEnd w:id="3"/>
      <w:r w:rsidDel="00000000" w:rsidR="00000000" w:rsidRPr="00000000">
        <w:rPr>
          <w:rtl w:val="0"/>
        </w:rPr>
      </w:r>
    </w:p>
    <w:p w:rsidR="00000000" w:rsidDel="00000000" w:rsidP="00000000" w:rsidRDefault="00000000" w:rsidRPr="00000000" w14:paraId="00000013">
      <w:pPr>
        <w:rPr/>
      </w:pPr>
      <w:bookmarkStart w:colFirst="0" w:colLast="0" w:name="_heading=h.k7snuofpsluq" w:id="4"/>
      <w:bookmarkEnd w:id="4"/>
      <w:r w:rsidDel="00000000" w:rsidR="00000000" w:rsidRPr="00000000">
        <w:rPr>
          <w:rtl w:val="0"/>
        </w:rPr>
        <w:t xml:space="preserve">Paní Březinová v úvodu představila svou spisovatelskou práci a proces tvorby knih. Pedagogům přiblížila své zkušenosti s psaním knih pro různé věkové skupiny – od předškoláků až po dospívající a zaměřila se na specifika tvorby pro začínajícího čtenáře. Zvláštní pozornost věnovala volbě témat, která jsou dětem blízká, ale zároveň otevírají prostor pro diskusi o aktuálních problémech jako jsou šikana, rozvod nebo handicap.</w:t>
      </w:r>
    </w:p>
    <w:p w:rsidR="00000000" w:rsidDel="00000000" w:rsidP="00000000" w:rsidRDefault="00000000" w:rsidRPr="00000000" w14:paraId="00000014">
      <w:pPr>
        <w:rPr/>
      </w:pPr>
      <w:bookmarkStart w:colFirst="0" w:colLast="0" w:name="_heading=h.nsg3tlwmwqk3" w:id="5"/>
      <w:bookmarkEnd w:id="5"/>
      <w:r w:rsidDel="00000000" w:rsidR="00000000" w:rsidRPr="00000000">
        <w:rPr>
          <w:rtl w:val="0"/>
        </w:rPr>
      </w:r>
    </w:p>
    <w:p w:rsidR="00000000" w:rsidDel="00000000" w:rsidP="00000000" w:rsidRDefault="00000000" w:rsidRPr="00000000" w14:paraId="00000015">
      <w:pPr>
        <w:rPr/>
      </w:pPr>
      <w:bookmarkStart w:colFirst="0" w:colLast="0" w:name="_heading=h.u147qt8gaip8" w:id="6"/>
      <w:bookmarkEnd w:id="6"/>
      <w:r w:rsidDel="00000000" w:rsidR="00000000" w:rsidRPr="00000000">
        <w:rPr>
          <w:rtl w:val="0"/>
        </w:rPr>
        <w:t xml:space="preserve">Hlavní část besedy byla věnována edici Má to háček, která se zabývá citlivými tématy jako jsou rodinné problémy, šikana a život s handicapem. Paní Březinová podrobněji představila tituly s pracovními listy jako Ťapka kočka stěhovavá, Ňouma z áčka či Řád sladkého sněhuláka, Šel jsem se psem, Židle pro Anhelinu,  a další.  Pedagogům ukázala jak lze tyto knihy začlenit do výuky ať už formou diskuzí, projektů nebo čtenářských dílen. Diskutovalo se také o knihách z edice Gang Odvážných! , které mohou sloužit k rozvoji kritického myšlení a týmové spolupráce žáků při práci s textem.</w:t>
      </w:r>
    </w:p>
    <w:p w:rsidR="00000000" w:rsidDel="00000000" w:rsidP="00000000" w:rsidRDefault="00000000" w:rsidRPr="00000000" w14:paraId="00000016">
      <w:pPr>
        <w:rPr/>
      </w:pPr>
      <w:bookmarkStart w:colFirst="0" w:colLast="0" w:name="_heading=h.or54ck7so4nn" w:id="7"/>
      <w:bookmarkEnd w:id="7"/>
      <w:r w:rsidDel="00000000" w:rsidR="00000000" w:rsidRPr="00000000">
        <w:rPr>
          <w:rtl w:val="0"/>
        </w:rPr>
      </w:r>
    </w:p>
    <w:p w:rsidR="00000000" w:rsidDel="00000000" w:rsidP="00000000" w:rsidRDefault="00000000" w:rsidRPr="00000000" w14:paraId="00000017">
      <w:pPr>
        <w:rPr/>
      </w:pPr>
      <w:bookmarkStart w:colFirst="0" w:colLast="0" w:name="_heading=h.u4ewxtpp2lbx" w:id="8"/>
      <w:bookmarkEnd w:id="8"/>
      <w:r w:rsidDel="00000000" w:rsidR="00000000" w:rsidRPr="00000000">
        <w:rPr>
          <w:rtl w:val="0"/>
        </w:rPr>
        <w:t xml:space="preserve">Během setkání sdílela paní Březinová tipy jak její knihy efektivně využít při výuce různých témat. Pedagogům poskytla inspiraci  jak literární tvorbu propojovat s konkrétními výukovými metodami. Zároveň se pedagogové podělili o své zkušenosti z práce s jejími knihami a diskutovali o jejich dopadu na rozvoj čtenářské gramotnosti a empatie mezi žáky.</w:t>
      </w:r>
    </w:p>
    <w:p w:rsidR="00000000" w:rsidDel="00000000" w:rsidP="00000000" w:rsidRDefault="00000000" w:rsidRPr="00000000" w14:paraId="00000018">
      <w:pPr>
        <w:rPr/>
      </w:pPr>
      <w:bookmarkStart w:colFirst="0" w:colLast="0" w:name="_heading=h.3lmhkbhm0pa3" w:id="9"/>
      <w:bookmarkEnd w:id="9"/>
      <w:r w:rsidDel="00000000" w:rsidR="00000000" w:rsidRPr="00000000">
        <w:rPr>
          <w:rtl w:val="0"/>
        </w:rPr>
      </w:r>
    </w:p>
    <w:p w:rsidR="00000000" w:rsidDel="00000000" w:rsidP="00000000" w:rsidRDefault="00000000" w:rsidRPr="00000000" w14:paraId="00000019">
      <w:pPr>
        <w:rPr/>
      </w:pPr>
      <w:bookmarkStart w:colFirst="0" w:colLast="0" w:name="_heading=h.g93h1cdqgf9o" w:id="10"/>
      <w:bookmarkEnd w:id="10"/>
      <w:r w:rsidDel="00000000" w:rsidR="00000000" w:rsidRPr="00000000">
        <w:rPr>
          <w:rtl w:val="0"/>
        </w:rPr>
        <w:t xml:space="preserve">V závěru nabídla paní Březinová pedagogům možnost hromadných objednávek jejích knih s osobním věnováním pro žáky, bez poplatku za dopravu. Tato nabídka byla velmi pozitivně přijata, stejně jako celé setkání, které bylo hodnoceno jako velký přínos pro práci ve školním prostředí. Pedagogové ocenili nejen odborné rady, ale i praktické tipy a osobní přístup paní Březinové.</w:t>
      </w:r>
    </w:p>
    <w:p w:rsidR="00000000" w:rsidDel="00000000" w:rsidP="00000000" w:rsidRDefault="00000000" w:rsidRPr="00000000" w14:paraId="0000001A">
      <w:pPr>
        <w:rPr/>
      </w:pPr>
      <w:bookmarkStart w:colFirst="0" w:colLast="0" w:name="_heading=h.tb78ycu6d4k9" w:id="11"/>
      <w:bookmarkEnd w:id="11"/>
      <w:r w:rsidDel="00000000" w:rsidR="00000000" w:rsidRPr="00000000">
        <w:rPr>
          <w:rtl w:val="0"/>
        </w:rPr>
      </w:r>
    </w:p>
    <w:p w:rsidR="00000000" w:rsidDel="00000000" w:rsidP="00000000" w:rsidRDefault="00000000" w:rsidRPr="00000000" w14:paraId="0000001B">
      <w:pPr>
        <w:rPr/>
      </w:pPr>
      <w:bookmarkStart w:colFirst="0" w:colLast="0" w:name="_heading=h.f7tuuh3mcbi0" w:id="12"/>
      <w:bookmarkEnd w:id="12"/>
      <w:r w:rsidDel="00000000" w:rsidR="00000000" w:rsidRPr="00000000">
        <w:rPr>
          <w:rtl w:val="0"/>
        </w:rPr>
      </w:r>
    </w:p>
    <w:p w:rsidR="00000000" w:rsidDel="00000000" w:rsidP="00000000" w:rsidRDefault="00000000" w:rsidRPr="00000000" w14:paraId="0000001C">
      <w:pPr>
        <w:rPr/>
      </w:pPr>
      <w:bookmarkStart w:colFirst="0" w:colLast="0" w:name="_heading=h.834qqnm2t3ml" w:id="13"/>
      <w:bookmarkEnd w:id="13"/>
      <w:r w:rsidDel="00000000" w:rsidR="00000000" w:rsidRPr="00000000">
        <w:rPr>
          <w:rtl w:val="0"/>
        </w:rPr>
        <w:t xml:space="preserve">Beseda výrazně přispěla k obohacení pedagogické praxe a snahu o rozvoj čtenářství mezi žáky.</w:t>
      </w:r>
    </w:p>
    <w:p w:rsidR="00000000" w:rsidDel="00000000" w:rsidP="00000000" w:rsidRDefault="00000000" w:rsidRPr="00000000" w14:paraId="0000001D">
      <w:pPr>
        <w:rPr/>
      </w:pPr>
      <w:bookmarkStart w:colFirst="0" w:colLast="0" w:name="_heading=h.6e9l09smpb31" w:id="14"/>
      <w:bookmarkEnd w:id="14"/>
      <w:r w:rsidDel="00000000" w:rsidR="00000000" w:rsidRPr="00000000">
        <w:rPr>
          <w:rtl w:val="0"/>
        </w:rPr>
      </w:r>
    </w:p>
    <w:p w:rsidR="00000000" w:rsidDel="00000000" w:rsidP="00000000" w:rsidRDefault="00000000" w:rsidRPr="00000000" w14:paraId="0000001E">
      <w:pPr>
        <w:rPr/>
      </w:pPr>
      <w:bookmarkStart w:colFirst="0" w:colLast="0" w:name="_heading=h.wfapupnsfmrv" w:id="15"/>
      <w:bookmarkEnd w:id="15"/>
      <w:r w:rsidDel="00000000" w:rsidR="00000000" w:rsidRPr="00000000">
        <w:rPr>
          <w:rtl w:val="0"/>
        </w:rPr>
      </w:r>
    </w:p>
    <w:p w:rsidR="00000000" w:rsidDel="00000000" w:rsidP="00000000" w:rsidRDefault="00000000" w:rsidRPr="00000000" w14:paraId="0000001F">
      <w:pPr>
        <w:rPr/>
      </w:pPr>
      <w:bookmarkStart w:colFirst="0" w:colLast="0" w:name="_heading=h.6tmqotqt32bq" w:id="16"/>
      <w:bookmarkEnd w:id="16"/>
      <w:r w:rsidDel="00000000" w:rsidR="00000000" w:rsidRPr="00000000">
        <w:rPr>
          <w:rtl w:val="0"/>
        </w:rPr>
      </w:r>
    </w:p>
    <w:p w:rsidR="00000000" w:rsidDel="00000000" w:rsidP="00000000" w:rsidRDefault="00000000" w:rsidRPr="00000000" w14:paraId="00000020">
      <w:pPr>
        <w:tabs>
          <w:tab w:val="left" w:leader="none" w:pos="7968"/>
        </w:tabs>
        <w:rPr/>
      </w:pPr>
      <w:bookmarkStart w:colFirst="0" w:colLast="0" w:name="_heading=h.gzad8sob1oef" w:id="17"/>
      <w:bookmarkEnd w:id="17"/>
      <w:r w:rsidDel="00000000" w:rsidR="00000000" w:rsidRPr="00000000">
        <w:rPr>
          <w:rtl w:val="0"/>
        </w:rPr>
        <w:t xml:space="preserve">Zapsala: Anna Meniecová</w:t>
      </w:r>
    </w:p>
    <w:p w:rsidR="00000000" w:rsidDel="00000000" w:rsidP="00000000" w:rsidRDefault="00000000" w:rsidRPr="00000000" w14:paraId="00000021">
      <w:pPr>
        <w:rPr>
          <w:rFonts w:ascii="Calibri" w:cs="Calibri" w:eastAsia="Calibri" w:hAnsi="Calibri"/>
        </w:rPr>
      </w:pPr>
      <w:bookmarkStart w:colFirst="0" w:colLast="0" w:name="_heading=h.ucn3lpp14qdl" w:id="18"/>
      <w:bookmarkEnd w:id="18"/>
      <w:r w:rsidDel="00000000" w:rsidR="00000000" w:rsidRPr="00000000">
        <w:rPr>
          <w:rtl w:val="0"/>
        </w:rPr>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27">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28">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29">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2A">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22"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ORP Kadaň, reg. č. CZ.02.02.XX/00/23_017/0008259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uDAcJAao8f0dRPJdp/2FqnOEpg==">CgMxLjAyDmguaG1laGsybnAwejhjMg5oLmlyYmY0d3V3OTdrbTIOaC5jOXF5YmdtZHUyMWoyDmguNWcydGFrZHh4cmQ0Mg5oLms3c251b2Zwc2x1cTIOaC5uc2czdGx3bXdxazMyDmgudTE0N3F0OGdhaXA4Mg5oLm9yNTRjazdzbzRubjIOaC51NGV3eHRwcDJsYngyDmguM2xtaGtiaG0wcGEzMg5oLmc5M2gxY2RxZ2Y5bzIOaC50Yjc4eWN1NmQ0azkyDmguZjd0dXVoM21jYmkwMg5oLjgzNHFxbm0ydDNtbDIOaC42ZTlsMDlzbXBiMzEyDmgud2ZhcHVwbnNmbXJ2Mg5oLjZ0bXFvdHF0MzJicTIOaC5nemFkOHNvYjFvZWYyDmgudWNuM2xwcDE0cWRsOAByITFHbWowVnRZYzFCbHRQMjZPemJtZ05rczdET1pqWWl6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