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Exkurze</w:t>
            </w:r>
          </w:p>
        </w:tc>
      </w:tr>
      <w:tr>
        <w:trPr>
          <w:cantSplit w:val="0"/>
          <w:trHeight w:val="425.97656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Účastník akce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ZŠ a MŠ Chbany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24.11.2025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8:00-13:00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Muzeum Lesná Krušné hory</w:t>
            </w:r>
          </w:p>
        </w:tc>
      </w:tr>
    </w:tbl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bookmarkStart w:colFirst="0" w:colLast="0" w:name="_heading=h.xtaijqr3rz1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Počet zúčastněných:</w:t>
      </w:r>
      <w:r w:rsidDel="00000000" w:rsidR="00000000" w:rsidRPr="00000000">
        <w:rPr>
          <w:rFonts w:ascii="Arial" w:cs="Arial" w:eastAsia="Arial" w:hAnsi="Arial"/>
          <w:rtl w:val="0"/>
        </w:rPr>
        <w:t xml:space="preserve">  18 dětí, 20 žáků + 7 pedagogů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Děti a žáci ze ZŠ a MŠ Chbany se 24. 11. 2025 zúčastnili vzdělávacího programu v Muzeu Lesná v Krušných horách, kde se interaktivní formou seznámili s českými vánočními zvyky a tradicemi. Program byl veden tak, aby rozvíjel čtenářskou pre/gramotnost, zejména porozumění příběhu a práci s informacemi.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Všichni pracovali s jednoduchými texty a vyprávěním o postavách z betléma, učili se vyhledávat hlavní myšlenky příběhu a popisovat jednotlivé postavy na základě slyšeného či přečteného textu. Následně si zazpívali koledy a zahráli na hudební nástroje, čímž si propojili poslechové dovednosti s porozuměním obsahu.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závěru programu si každý vyrobil vlastního andělíčka podle psaného návodu, což podporovalo schopnost řídit se instrukcí. Na památku získaly děti medaile. Návštěva muzea byla nejen zábavná, ale také obohacující – posílila schopnost dětí pracovat s textem, naslouchat, vyvozovat informace a přemýšlet o tradicích v širším kontextu.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D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E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2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zAIGDAJckmkzPB4NopM85WBqQ==">CgMxLjAyDmgueHRhaWpxcjNyejFvOAByITF3RVl3NVZVQmk2UWR2Q3B0aHZGclVlWmFPWlhJSG92OQ==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