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        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ZÁPIS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Setkání partnerství MAP IV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Závěrečná konference MAP4 ORP Kadaň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3.11.2025</w:t>
            </w:r>
          </w:p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8:00 - 16:00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Restaurace Chalupník, Perštejn</w:t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7968"/>
        </w:tabs>
        <w:rPr/>
      </w:pPr>
      <w:bookmarkStart w:colFirst="0" w:colLast="0" w:name="_heading=h.fnqt4brl8zl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968"/>
        </w:tabs>
        <w:spacing w:after="240" w:before="240" w:lineRule="auto"/>
        <w:jc w:val="both"/>
        <w:rPr>
          <w:sz w:val="28"/>
          <w:szCs w:val="28"/>
        </w:rPr>
      </w:pPr>
      <w:bookmarkStart w:colFirst="0" w:colLast="0" w:name="_heading=h.x6i3nhy2cxh3" w:id="1"/>
      <w:bookmarkEnd w:id="1"/>
      <w:r w:rsidDel="00000000" w:rsidR="00000000" w:rsidRPr="00000000">
        <w:rPr>
          <w:sz w:val="28"/>
          <w:szCs w:val="28"/>
          <w:rtl w:val="0"/>
        </w:rPr>
        <w:t xml:space="preserve">Dne 3. listopadu proběhla v příjemném prostředí restaurace Chalupník v Perštejně závěrečná konference MAP4 ORP Kadaň.</w:t>
      </w:r>
    </w:p>
    <w:p w:rsidR="00000000" w:rsidDel="00000000" w:rsidP="00000000" w:rsidRDefault="00000000" w:rsidRPr="00000000" w14:paraId="0000000F">
      <w:pPr>
        <w:tabs>
          <w:tab w:val="left" w:leader="none" w:pos="7968"/>
        </w:tabs>
        <w:spacing w:after="240" w:before="240" w:lineRule="auto"/>
        <w:jc w:val="both"/>
        <w:rPr>
          <w:sz w:val="28"/>
          <w:szCs w:val="28"/>
        </w:rPr>
      </w:pPr>
      <w:bookmarkStart w:colFirst="0" w:colLast="0" w:name="_heading=h.57zkuu6fogqb" w:id="2"/>
      <w:bookmarkEnd w:id="2"/>
      <w:r w:rsidDel="00000000" w:rsidR="00000000" w:rsidRPr="00000000">
        <w:rPr>
          <w:sz w:val="28"/>
          <w:szCs w:val="28"/>
          <w:rtl w:val="0"/>
        </w:rPr>
        <w:t xml:space="preserve">Dopolední část programu zahrnovala jednání Řídícího výboru a společné setkání Pracovních skupin MAP4 ORP Kadaň, následované krátkým blokem novinek z Přírodovědného centra Žatec. </w:t>
      </w:r>
    </w:p>
    <w:p w:rsidR="00000000" w:rsidDel="00000000" w:rsidP="00000000" w:rsidRDefault="00000000" w:rsidRPr="00000000" w14:paraId="00000010">
      <w:pPr>
        <w:tabs>
          <w:tab w:val="left" w:leader="none" w:pos="7968"/>
        </w:tabs>
        <w:spacing w:after="240" w:before="240" w:lineRule="auto"/>
        <w:jc w:val="both"/>
        <w:rPr>
          <w:sz w:val="28"/>
          <w:szCs w:val="28"/>
        </w:rPr>
      </w:pPr>
      <w:bookmarkStart w:colFirst="0" w:colLast="0" w:name="_heading=h.57zkuu6fogqb" w:id="2"/>
      <w:bookmarkEnd w:id="2"/>
      <w:r w:rsidDel="00000000" w:rsidR="00000000" w:rsidRPr="00000000">
        <w:rPr>
          <w:sz w:val="28"/>
          <w:szCs w:val="28"/>
          <w:rtl w:val="0"/>
        </w:rPr>
        <w:t xml:space="preserve">V odpolední části programu proběhl seminář zaměřený na Rizikové chování dětí a mládeže, který vedl Mgr. Sáva Arabadžiev. Lektor se věnoval především problematice užívání návykových látek – vysvětlil současné trendy, jejich dostupnost a dopady na psychiku i sociální fungování dětí. Představil také přehled nejčastěji užívaných látek a upozornil, které z nich představují největší zdravotní rizika a mají nejvyšší návykový potenciál.</w:t>
      </w:r>
    </w:p>
    <w:p w:rsidR="00000000" w:rsidDel="00000000" w:rsidP="00000000" w:rsidRDefault="00000000" w:rsidRPr="00000000" w14:paraId="00000011">
      <w:pPr>
        <w:tabs>
          <w:tab w:val="left" w:leader="none" w:pos="7968"/>
        </w:tabs>
        <w:spacing w:after="240" w:before="240" w:lineRule="auto"/>
        <w:jc w:val="both"/>
        <w:rPr>
          <w:sz w:val="28"/>
          <w:szCs w:val="28"/>
        </w:rPr>
      </w:pPr>
      <w:bookmarkStart w:colFirst="0" w:colLast="0" w:name="_heading=h.57zkuu6fogqb" w:id="2"/>
      <w:bookmarkEnd w:id="2"/>
      <w:r w:rsidDel="00000000" w:rsidR="00000000" w:rsidRPr="00000000">
        <w:rPr>
          <w:sz w:val="28"/>
          <w:szCs w:val="28"/>
          <w:rtl w:val="0"/>
        </w:rPr>
        <w:t xml:space="preserve">Důležitou částí semináře byla také oblast médií a sociálních sítí. Diskutovali jsme, jak digitální prostředí ovlivňuje hodnoty, chování i vnímání reality u dětí. Lektor vysvětlil, jak některé funkce a nastavení sociálních sítí podporují návykové používání online platforem, a upozornil na rizika spojená s nadměrným trávením času na internetu, rychlým uspokojením, které tyto aplikace nabízejí, i různými manipulativními prvky digitálního prostředí.</w:t>
      </w:r>
    </w:p>
    <w:p w:rsidR="00000000" w:rsidDel="00000000" w:rsidP="00000000" w:rsidRDefault="00000000" w:rsidRPr="00000000" w14:paraId="00000012">
      <w:pPr>
        <w:tabs>
          <w:tab w:val="left" w:leader="none" w:pos="7968"/>
        </w:tabs>
        <w:spacing w:after="240" w:before="240" w:lineRule="auto"/>
        <w:jc w:val="both"/>
        <w:rPr>
          <w:sz w:val="28"/>
          <w:szCs w:val="28"/>
        </w:rPr>
      </w:pPr>
      <w:bookmarkStart w:colFirst="0" w:colLast="0" w:name="_heading=h.57zkuu6fogqb" w:id="2"/>
      <w:bookmarkEnd w:id="2"/>
      <w:r w:rsidDel="00000000" w:rsidR="00000000" w:rsidRPr="00000000">
        <w:rPr>
          <w:sz w:val="28"/>
          <w:szCs w:val="28"/>
          <w:rtl w:val="0"/>
        </w:rPr>
        <w:t xml:space="preserve">Seminář byl doplněn o příklady z praxe a doporučení, jak s těmito tématy pracovat ve školním prostředí a jak s dětmi o tématech otevřeně mluvit.</w:t>
      </w:r>
    </w:p>
    <w:p w:rsidR="00000000" w:rsidDel="00000000" w:rsidP="00000000" w:rsidRDefault="00000000" w:rsidRPr="00000000" w14:paraId="00000013">
      <w:pPr>
        <w:tabs>
          <w:tab w:val="left" w:leader="none" w:pos="7968"/>
        </w:tabs>
        <w:spacing w:after="240" w:before="240" w:lineRule="auto"/>
        <w:jc w:val="both"/>
        <w:rPr>
          <w:sz w:val="28"/>
          <w:szCs w:val="28"/>
        </w:rPr>
      </w:pPr>
      <w:bookmarkStart w:colFirst="0" w:colLast="0" w:name="_heading=h.uu3cou9k1nj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968"/>
        </w:tabs>
        <w:rPr>
          <w:sz w:val="32"/>
          <w:szCs w:val="32"/>
        </w:rPr>
      </w:pPr>
      <w:bookmarkStart w:colFirst="0" w:colLast="0" w:name="_heading=h.b0fy6u36am5y" w:id="4"/>
      <w:bookmarkEnd w:id="4"/>
      <w:r w:rsidDel="00000000" w:rsidR="00000000" w:rsidRPr="00000000">
        <w:rPr>
          <w:sz w:val="28"/>
          <w:szCs w:val="28"/>
          <w:rtl w:val="0"/>
        </w:rPr>
        <w:t xml:space="preserve">Zapsala: Koordinátorka příprav aktivit Eva Wagnerová DiS.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1C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1D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8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MAP4 ORP Kadaň, reg. č. CZ.02.02.XX/00/23_017/0008259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I/186nNcIK79YPhCL+kCzdi6LQ==">CgMxLjAyDmguZm5xdDRicmw4emxlMg5oLng2aTNuaHkyY3hoMzIOaC41N3prdXU2Zm9ncWIyDmguNTd6a3V1NmZvZ3FiMg5oLjU3emt1dTZmb2dxYjIOaC41N3prdXU2Zm9ncWIyDmgudXUzY291OWsxbmplMg5oLmIwZnk2dTM2YW01eTgAciExLTBfMzFzMnVkZk9HU25FdW9oMGFwTDZUclFiNW9oYnY=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