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Exkurze/program Divadla “Kytice”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Vilémov, okres Chomutov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2.12. 2024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 divadla od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10:00 hod do 11:00 hod</w:t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Divadlo rozmanitostí - loutková a alternativní scéna MDM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Topolová 1278, 434 01 MOST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o774y2m1ft7w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byla pořádána v implementační aktivitě zaměřené na rozvoj čtenářské gramotnosti a pregramotnosti (ČG/ČPG).</w:t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ov1qjgjs4ru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  <w:sz w:val="26"/>
          <w:szCs w:val="26"/>
        </w:rPr>
      </w:pPr>
      <w:bookmarkStart w:colFirst="0" w:colLast="0" w:name="_heading=h.e43x8toeri5n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2. prosince se žáci druhého stupně Základní školy Vilémov společně se svým učitelským doprovodem vypravili na exkurzi do Divadla rozmanitostí v Mostě. Akce proběhla v rámci projektu MAP4 ORP Kadaň ve spolupráci se ZŠ a MŠ Vilémov. Žáci zhlédli program loutkového divadla s názvem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Kytice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Tato exkurze byla součástí vzdělávacího programu zaměřeného na podporu literárního povědomí a interpretaci klasických děl české literatury.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 začínal v 10:00 hodin a nabídl dramatické zpracování vybraných balad z Erbenovy sbírky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Kytice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Žáci se předem na představení připravovali v hodinách literatury, kde analyzovali texty jako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Polednice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Vodník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Svatební košile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Tato příprava jim umožnila lépe pochopit dramatické prvky inscenace a propojit text s jeho jevištní interpretací.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Samotné představení kombinovalo prvky loutkového divadla, pohybového divadla a živé hudby, čímž vtáhlo diváky do atmosféry tajemných a někdy mrazivých balad. Vizuální efekty a originální scénografie zdůrazňovaly hlavní motivy jednotlivých balad, což žákům umožnilo lépe porozumět jejich symbolice a emočnímu náboji.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představení proběhla krátká diskuse s herci, během níž měli žáci možnost klást otázky ohledně zpracování jednotlivých scén, práce s loutkami a adaptace literárního díla na divadelní jeviště. Tento interaktivní prvek exkurze žáky velmi zaujal a motivoval k dalšímu zkoumání literatury.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byla hodnocena velmi pozitivně jak žáky, tak pedagogy. Dramatické zpracování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Kytice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pomohlo žákům lépe si představit a procítit literární dílo, které je nedílnou součástí českého kulturního dědictví. Zároveň tato akce přispěla k rozvoji jejich schopnosti analyzovat a interpretovat umělecká díla.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1e9lvu2wb5w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7e0v46oijf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2tt86vdwz4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návratu do školy proběhla reflexe, při níž žáci ve skupinách diskutovali o svých dojmech a sepisovali krátké eseje o tom, jaké balady je nejvíce oslovily a proč. Tyto texty budou dále využity v hodinách literatury k hlubšímu porozumění Erbenovu dílu.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Celkově byla exkurze vnímána jako velmi přínosná a inspirativní. Podobné aktivity jsou důležitou součástí vzdělávacího procesu, protože propojují teoretické poznatky s praktickými zážitky a podporují kulturní rozvoj žáků.</w:t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i63rD+w3+t2PkUIz3CjYfEfbQ==">CgMxLjAyDmgueHRhaWpxcjNyejFvMg5oLmh3cTJreDRuYzY0NDIOaC5vNzc0eTJtMWZ0N3cyDmgub3YxcWpnanM0cnV5Mg5oLmU0M3g4dG9lcmk1bjIOaC4zdjBhNXY3d3pweHAyDmguM3YwYTV2N3d6cHhwMg5oLjN2MGE1djd3enB4cDIOaC4zdjBhNXY3d3pweHAyDmguMWU5bHZ1MndiNXdzMg5oLjM3ZTB2NDZvaWpmZDINaC4ydHQ4NnZkd3o0azIOaC4zdjBhNXY3d3pweHAyDmguM3YwYTV2N3d6cHhwMg5oLjN2MGE1djd3enB4cDIOaC5jaGNyOW01a2tnYWQ4AHIhMS1NcUNkUTBNOWpzNkdJMGR0RF80WTdDX0dPZ1Iydn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